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fecss-GTC - long period</w:t>
      </w:r>
    </w:p>
    <w:p>
      <w:pPr>
        <w:pStyle w:val="Subtitle"/>
      </w:pPr>
      <w:r>
        <w:t/>
      </w:r>
      <w:r>
        <w:t xml:space="preserve"/>
      </w:r>
      <w:r>
        <w:t xml:space="preserve">SFACD-fecss-GTC Elasticities -long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0.491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SFATLG-fecss-GTC Elasticities -long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0.562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0.441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SFATLG-fecss-GTC Monotonicity Violations -long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81.624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81.624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61.404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10.526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71.930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18.774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4.406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6.130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26.820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8.925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21.220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23.588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52.550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61.111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61.111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81.624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81.624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